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铜试剂操作说明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K-3510/R-3510: 0 - 1 &amp; 1 - 10 ppm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安全信息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测试程序在执行之前阅读SDS（可从www.chemetrics.com获取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戴安全眼镜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保护手套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测试程序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25 mL要测试的样品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标记处（图1）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将安瓿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瓶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放入样品杯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中,抓住安瓿瓶末端,折断,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安瓿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瓶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填充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样液,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留下泡沫混合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图2）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将安瓿瓶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倒转几次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混合，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泡沫从一端到另一端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结束。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擦干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安瓿瓶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，等待2分钟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显色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适当的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比色剂,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获得测试结果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低范围比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色剂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（图3）：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将安瓿瓶的平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放入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色剂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。握住比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色剂,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朝向光源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视野从底部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旋转比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色剂,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直到找到最佳颜色匹配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b高范围比色剂（图4）：将安瓿瓶放在标准颜色之间，直到找到最佳颜色匹配。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测试方法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铜CHEMets®1测试方法采用（2,9-二甲基-4,7-二苯基-1,10-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菲咯啉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方法,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铜试剂二磺酸盐与铜形成一种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橙色螯合物。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该试验方法适用于饮用水，地表水，地下水，废水和海水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,进行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海水分析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等待1分钟进行显色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314450" cy="1276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44905" cy="1246505"/>
            <wp:effectExtent l="0" t="0" r="1714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41425" cy="1250950"/>
            <wp:effectExtent l="0" t="0" r="1587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5080" cy="1245870"/>
            <wp:effectExtent l="0" t="0" r="127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21618"/>
    <w:multiLevelType w:val="singleLevel"/>
    <w:tmpl w:val="788216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dcterms:modified xsi:type="dcterms:W3CDTF">2019-07-09T03:40:25Z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