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"/>
        <w:ind w:left="249" w:right="259" w:firstLine="0"/>
        <w:jc w:val="center"/>
        <w:rPr>
          <w:b/>
          <w:sz w:val="32"/>
        </w:rPr>
      </w:pPr>
      <w:r>
        <w:rPr>
          <w:rFonts w:hint="eastAsia"/>
          <w:b/>
          <w:sz w:val="36"/>
        </w:rPr>
        <w:t>化学需氧量</w:t>
      </w:r>
      <w:r>
        <w:rPr>
          <w:b/>
          <w:sz w:val="32"/>
        </w:rPr>
        <w:t>(COD Vials)</w:t>
      </w:r>
    </w:p>
    <w:p>
      <w:pPr>
        <w:tabs>
          <w:tab w:val="left" w:pos="1605"/>
        </w:tabs>
        <w:spacing w:before="147" w:line="268" w:lineRule="exact"/>
        <w:ind w:left="249" w:right="0" w:firstLine="0"/>
        <w:jc w:val="center"/>
        <w:rPr>
          <w:sz w:val="24"/>
        </w:rPr>
      </w:pPr>
      <w:r>
        <w:rPr>
          <w:b/>
          <w:sz w:val="24"/>
        </w:rPr>
        <w:t>LR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COD:</w:t>
      </w:r>
      <w:r>
        <w:rPr>
          <w:b/>
          <w:sz w:val="24"/>
        </w:rPr>
        <w:tab/>
      </w:r>
      <w:r>
        <w:rPr>
          <w:sz w:val="24"/>
        </w:rPr>
        <w:t>0 - 150</w:t>
      </w:r>
      <w:r>
        <w:rPr>
          <w:spacing w:val="17"/>
          <w:sz w:val="24"/>
        </w:rPr>
        <w:t xml:space="preserve"> </w:t>
      </w:r>
      <w:r>
        <w:rPr>
          <w:sz w:val="24"/>
        </w:rPr>
        <w:t>mg/L</w:t>
      </w:r>
    </w:p>
    <w:p>
      <w:pPr>
        <w:tabs>
          <w:tab w:val="left" w:pos="1739"/>
        </w:tabs>
        <w:spacing w:before="0" w:line="260" w:lineRule="exact"/>
        <w:ind w:left="356" w:right="0" w:firstLine="0"/>
        <w:jc w:val="center"/>
        <w:rPr>
          <w:sz w:val="24"/>
        </w:rPr>
      </w:pPr>
      <w:r>
        <w:rPr>
          <w:b/>
          <w:sz w:val="24"/>
        </w:rPr>
        <w:t>HR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COD:</w:t>
      </w:r>
      <w:r>
        <w:rPr>
          <w:b/>
          <w:sz w:val="24"/>
        </w:rPr>
        <w:tab/>
      </w:r>
      <w:r>
        <w:rPr>
          <w:sz w:val="24"/>
        </w:rPr>
        <w:t>0 - 1500</w:t>
      </w:r>
      <w:r>
        <w:rPr>
          <w:spacing w:val="18"/>
          <w:sz w:val="24"/>
        </w:rPr>
        <w:t xml:space="preserve"> </w:t>
      </w:r>
      <w:r>
        <w:rPr>
          <w:sz w:val="24"/>
        </w:rPr>
        <w:t>mg/L</w:t>
      </w:r>
    </w:p>
    <w:p>
      <w:pPr>
        <w:tabs>
          <w:tab w:val="left" w:pos="1939"/>
        </w:tabs>
        <w:spacing w:before="0" w:line="268" w:lineRule="exact"/>
        <w:ind w:left="416" w:right="0" w:firstLine="0"/>
        <w:jc w:val="center"/>
        <w:rPr>
          <w:sz w:val="24"/>
        </w:rPr>
      </w:pPr>
      <w:r>
        <w:rPr>
          <w:b/>
          <w:sz w:val="24"/>
        </w:rPr>
        <w:t>HR+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COD:</w:t>
      </w:r>
      <w:r>
        <w:rPr>
          <w:b/>
          <w:sz w:val="24"/>
        </w:rPr>
        <w:tab/>
      </w:r>
      <w:r>
        <w:rPr>
          <w:sz w:val="24"/>
        </w:rPr>
        <w:t>0 - 15,000</w:t>
      </w:r>
      <w:r>
        <w:rPr>
          <w:spacing w:val="18"/>
          <w:sz w:val="24"/>
        </w:rPr>
        <w:t xml:space="preserve"> </w:t>
      </w:r>
      <w:r>
        <w:rPr>
          <w:sz w:val="24"/>
        </w:rPr>
        <w:t>mg/L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3233" w:firstLine="0" w:firstLine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安全信息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1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COD试剂瓶含有硫酸，会导致严重烧伤。 使用前请阅读SDS（可从www.chemetrics.com获取）。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1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穿戴适当的个人防护装备。 在引擎盖下执行此测试程序。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0" w:leftChars="0" w:right="3232" w:firstLine="0" w:firstLine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测试方法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94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化学需氧量是废水样品中可氧化有机物含量的量度。 在催化剂（银）存在下使样品与重铬酸钾的酸性溶液反应，并在150℃的温度下消化2小时。 可氧化的有机化合物将重铬酸根离子</w:t>
      </w:r>
      <w:r>
        <w:t xml:space="preserve">(Cr O </w:t>
      </w:r>
      <w:r>
        <w:rPr>
          <w:position w:val="5"/>
          <w:sz w:val="14"/>
        </w:rPr>
        <w:t>2-</w:t>
      </w:r>
      <w:r>
        <w:t>)</w:t>
      </w:r>
      <w:r>
        <w:rPr>
          <w:rFonts w:hint="eastAsia" w:ascii="宋体" w:hAnsi="宋体" w:eastAsia="宋体" w:cs="宋体"/>
          <w:sz w:val="21"/>
          <w:szCs w:val="21"/>
        </w:rPr>
        <w:t>还原成铬离子</w:t>
      </w:r>
      <w:r>
        <w:t>(Cr</w:t>
      </w:r>
      <w:r>
        <w:rPr>
          <w:position w:val="5"/>
          <w:sz w:val="14"/>
        </w:rPr>
        <w:t>3+</w:t>
      </w:r>
      <w:r>
        <w:t>)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94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在LR COD试剂盒中，重量分析测量重铬酸根离子的减少量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在HR和HR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+</w:t>
      </w:r>
      <w:r>
        <w:rPr>
          <w:rFonts w:hint="eastAsia" w:ascii="宋体" w:hAnsi="宋体" w:eastAsia="宋体" w:cs="宋体"/>
          <w:sz w:val="21"/>
          <w:szCs w:val="21"/>
        </w:rPr>
        <w:t>COD试剂盒中，测量产生的铬离子的量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测试结果表示为每升样品消耗的氧气毫克数（mg /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l </w:t>
      </w:r>
      <w:r>
        <w:rPr>
          <w:rFonts w:hint="eastAsia" w:ascii="宋体" w:hAnsi="宋体" w:eastAsia="宋体" w:cs="宋体"/>
          <w:sz w:val="21"/>
          <w:szCs w:val="21"/>
        </w:rPr>
        <w:t>COD）。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参考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360" w:lineRule="auto"/>
        <w:ind w:left="0" w:leftChars="0" w:right="3232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APHA标准方法，第22版，方法5220 D - 1997。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360" w:lineRule="auto"/>
        <w:ind w:left="0" w:leftChars="0" w:right="3232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ASTM D 1252-06，水的化学需氧量（重铬酸盐需氧量），测试方法B.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0" w:line="360" w:lineRule="auto"/>
        <w:ind w:right="3229" w:righ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EPA方法分析水和废物，方法410.4（1983）。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M. Jirka和M. J. Carter，“用于化学需氧量的表面和废水的微半自动分析”，分析化学（1975）。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39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J. A. Winter，“方法研究3，需求分析，水和废水分析方法评估”，USEPA，（1971）。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39" w:firstLine="0" w:firstLine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样品采集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将样品收集在玻璃瓶中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sz w:val="21"/>
          <w:szCs w:val="21"/>
        </w:rPr>
        <w:t>当需要保存样品进行储存时，用浓硫酸酸化至pH&lt;2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收集后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sz w:val="21"/>
          <w:szCs w:val="21"/>
        </w:rPr>
        <w:t>保存样品在4°C下保存不超过28天。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38" w:right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highlight w:val="yellow"/>
        </w:rPr>
      </w:pPr>
      <w:r>
        <w:rPr>
          <w:rFonts w:hint="eastAsia" w:ascii="宋体" w:hAnsi="宋体" w:eastAsia="宋体" w:cs="宋体"/>
          <w:b/>
          <w:sz w:val="21"/>
          <w:szCs w:val="21"/>
          <w:highlight w:val="yellow"/>
        </w:rPr>
        <w:t>测试程序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3" w:line="360" w:lineRule="auto"/>
        <w:ind w:left="0" w:leftChars="0" w:right="39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yellow"/>
        </w:rPr>
      </w:pPr>
      <w:r>
        <w:rPr>
          <w:rFonts w:hint="eastAsia" w:ascii="宋体" w:hAnsi="宋体" w:eastAsia="宋体" w:cs="宋体"/>
          <w:sz w:val="21"/>
          <w:szCs w:val="21"/>
          <w:highlight w:val="yellow"/>
        </w:rPr>
        <w:t>在搅拌器中将500mL样品均化2分钟。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3" w:line="360" w:lineRule="auto"/>
        <w:ind w:leftChars="0" w:right="39" w:rightChars="0"/>
        <w:textAlignment w:val="auto"/>
        <w:rPr>
          <w:rFonts w:hint="eastAsia" w:ascii="宋体" w:hAnsi="宋体" w:eastAsia="宋体" w:cs="宋体"/>
          <w:b/>
          <w:sz w:val="21"/>
          <w:szCs w:val="21"/>
          <w:highlight w:val="yellow"/>
        </w:rPr>
      </w:pPr>
      <w:r>
        <w:rPr>
          <w:rFonts w:hint="eastAsia" w:ascii="宋体" w:hAnsi="宋体" w:eastAsia="宋体" w:cs="宋体"/>
          <w:b/>
          <w:sz w:val="21"/>
          <w:szCs w:val="21"/>
          <w:highlight w:val="yellow"/>
        </w:rPr>
        <w:t>注意：混合可确保样品中可能存在的任何固体均匀分布，从而提高测试的准确性和可重复性。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yellow"/>
        </w:rPr>
      </w:pP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2、</w:t>
      </w:r>
      <w:r>
        <w:rPr>
          <w:rFonts w:hint="eastAsia" w:ascii="宋体" w:hAnsi="宋体" w:eastAsia="宋体" w:cs="宋体"/>
          <w:sz w:val="21"/>
          <w:szCs w:val="21"/>
          <w:highlight w:val="yellow"/>
          <w:lang w:eastAsia="zh-CN"/>
        </w:rPr>
        <w:t>预热消解器至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150°C。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after="0" w:line="360" w:lineRule="auto"/>
        <w:ind w:right="38" w:rightChars="0"/>
        <w:jc w:val="both"/>
        <w:textAlignment w:val="auto"/>
        <w:rPr>
          <w:rFonts w:hint="eastAsia" w:ascii="宋体" w:hAnsi="宋体" w:eastAsia="宋体" w:cs="宋体"/>
          <w:sz w:val="21"/>
          <w:szCs w:val="21"/>
          <w:highlight w:val="yellow"/>
        </w:rPr>
      </w:pP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3、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从COD样品瓶中取出盖子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6" w:after="0" w:line="360" w:lineRule="auto"/>
        <w:ind w:right="38" w:right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yellow"/>
        </w:rPr>
      </w:pP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4、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将样品2.00 mL（HR + COD 0.20 mL）加入样品瓶中。 小瓶的内容会变热。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yellow"/>
        </w:rPr>
      </w:pP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5、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将盖子更换到COD样品瓶上，将其紧紧固定。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7" w:after="0" w:line="360" w:lineRule="auto"/>
        <w:ind w:right="38" w:right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yellow"/>
        </w:rPr>
      </w:pP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6、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立即倒置小瓶10次以充分混合。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7" w:after="0" w:line="360" w:lineRule="auto"/>
        <w:ind w:right="38" w:right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注意：混合时，仅用盖子握住小瓶。 小瓶的内容会变得很热。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8" w:after="0" w:line="360" w:lineRule="auto"/>
        <w:ind w:right="38" w:rightChars="0"/>
        <w:jc w:val="both"/>
        <w:textAlignment w:val="auto"/>
        <w:rPr>
          <w:rFonts w:hint="eastAsia" w:ascii="宋体" w:hAnsi="宋体" w:eastAsia="宋体" w:cs="宋体"/>
          <w:sz w:val="21"/>
          <w:szCs w:val="21"/>
          <w:highlight w:val="yellow"/>
        </w:rPr>
      </w:pP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7、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用湿毛巾擦拭小瓶并将其放入预热的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消解器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中。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9" w:line="360" w:lineRule="auto"/>
        <w:ind w:left="0" w:leftChars="0" w:right="39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8、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重复步骤3至7，使用去离子水而不是步骤4中的样品，准备试剂空白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9" w:line="360" w:lineRule="auto"/>
        <w:ind w:left="0" w:leftChars="0" w:right="39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yellow"/>
        </w:rPr>
      </w:pPr>
      <w:r>
        <w:rPr>
          <w:rFonts w:hint="eastAsia" w:ascii="宋体" w:hAnsi="宋体" w:eastAsia="宋体" w:cs="宋体"/>
          <w:b/>
          <w:sz w:val="21"/>
          <w:szCs w:val="21"/>
          <w:highlight w:val="yellow"/>
        </w:rPr>
        <w:t>注意：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每组样品和每批新批次的COD样品瓶必须至少运行一个试剂空白。 使用与测试COD样品瓶相同批次的空白样品瓶。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8" w:after="0" w:line="360" w:lineRule="auto"/>
        <w:ind w:right="38" w:rightChars="0"/>
        <w:jc w:val="both"/>
        <w:textAlignment w:val="auto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9.让小瓶在消解器中在150°C加热2小时。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8" w:after="0" w:line="360" w:lineRule="auto"/>
        <w:ind w:right="38" w:rightChars="0"/>
        <w:jc w:val="both"/>
        <w:textAlignment w:val="auto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10.关闭消解器，让小瓶保留在装置中冷却15到20分钟。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8" w:after="0" w:line="360" w:lineRule="auto"/>
        <w:ind w:right="38" w:right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11.请注意，玻璃瓶仍然很热。 小心地从消解器中取出每个小瓶，确保盖子牢固固定。 将每个样品瓶倒置几次，然后将其放入机架中冷却至室温。 让小瓶冷却至少30分钟。 在此冷却时间内将样品瓶存放在黑暗中。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0" w:right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 w:bidi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en-US"/>
        </w:rPr>
        <w:t>注意：如果掉落或快速冷却，热的样品瓶可能会破碎。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0" w:right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 w:bidi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en-US"/>
        </w:rPr>
        <w:t>12.如果适用，请按照仪器特定程序选择波长并将分光光度计归零。</w:t>
      </w:r>
    </w:p>
    <w:tbl>
      <w:tblPr>
        <w:tblStyle w:val="5"/>
        <w:tblW w:w="71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6"/>
        <w:gridCol w:w="1443"/>
        <w:gridCol w:w="4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86" w:type="dxa"/>
            <w:vAlign w:val="center"/>
          </w:tcPr>
          <w:p>
            <w:pPr>
              <w:pStyle w:val="9"/>
              <w:spacing w:before="0" w:line="237" w:lineRule="auto"/>
              <w:ind w:left="187" w:right="146" w:hanging="138"/>
              <w:jc w:val="center"/>
              <w:rPr>
                <w:b/>
                <w:sz w:val="22"/>
              </w:rPr>
            </w:pPr>
            <w:r>
              <w:rPr>
                <w:rFonts w:hint="eastAsia" w:eastAsia="宋体"/>
                <w:b/>
                <w:sz w:val="22"/>
                <w:lang w:eastAsia="zh-CN"/>
              </w:rPr>
              <w:t>范围</w:t>
            </w:r>
            <w:r>
              <w:rPr>
                <w:b/>
                <w:sz w:val="22"/>
              </w:rPr>
              <w:t xml:space="preserve"> mg/L</w:t>
            </w:r>
          </w:p>
        </w:tc>
        <w:tc>
          <w:tcPr>
            <w:tcW w:w="1443" w:type="dxa"/>
            <w:vAlign w:val="top"/>
          </w:tcPr>
          <w:p>
            <w:pPr>
              <w:pStyle w:val="9"/>
              <w:spacing w:before="1" w:line="240" w:lineRule="auto"/>
              <w:jc w:val="center"/>
              <w:rPr>
                <w:sz w:val="21"/>
              </w:rPr>
            </w:pPr>
          </w:p>
          <w:p>
            <w:pPr>
              <w:pStyle w:val="9"/>
              <w:spacing w:before="0" w:line="240" w:lineRule="auto"/>
              <w:ind w:left="16"/>
              <w:jc w:val="center"/>
              <w:rPr>
                <w:rFonts w:hint="eastAsia" w:eastAsia="宋体"/>
                <w:b/>
                <w:sz w:val="22"/>
                <w:lang w:eastAsia="zh-CN"/>
              </w:rPr>
            </w:pPr>
            <w:r>
              <w:rPr>
                <w:rFonts w:hint="eastAsia" w:eastAsia="宋体"/>
                <w:b/>
                <w:sz w:val="22"/>
                <w:lang w:eastAsia="zh-CN"/>
              </w:rPr>
              <w:t>波长</w:t>
            </w:r>
          </w:p>
        </w:tc>
        <w:tc>
          <w:tcPr>
            <w:tcW w:w="4084" w:type="dxa"/>
            <w:vAlign w:val="center"/>
          </w:tcPr>
          <w:p>
            <w:pPr>
              <w:pStyle w:val="9"/>
              <w:spacing w:before="0" w:line="237" w:lineRule="auto"/>
              <w:ind w:left="812" w:right="772" w:hanging="105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校准方程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586" w:type="dxa"/>
          </w:tcPr>
          <w:p>
            <w:pPr>
              <w:pStyle w:val="9"/>
              <w:spacing w:before="40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0 - 150</w:t>
            </w:r>
          </w:p>
        </w:tc>
        <w:tc>
          <w:tcPr>
            <w:tcW w:w="1443" w:type="dxa"/>
          </w:tcPr>
          <w:p>
            <w:pPr>
              <w:pStyle w:val="9"/>
              <w:spacing w:before="40"/>
              <w:ind w:left="16" w:right="38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4084" w:type="dxa"/>
          </w:tcPr>
          <w:p>
            <w:pPr>
              <w:pStyle w:val="9"/>
              <w:spacing w:before="40"/>
              <w:ind w:right="4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ppm </w:t>
            </w:r>
            <w:r>
              <w:rPr>
                <w:spacing w:val="-5"/>
                <w:sz w:val="20"/>
              </w:rPr>
              <w:t xml:space="preserve">(mg/L) </w:t>
            </w:r>
            <w:r>
              <w:rPr>
                <w:sz w:val="20"/>
              </w:rPr>
              <w:t xml:space="preserve">= </w:t>
            </w:r>
            <w:r>
              <w:rPr>
                <w:spacing w:val="-5"/>
                <w:sz w:val="20"/>
              </w:rPr>
              <w:t xml:space="preserve">(-331)(abs) </w:t>
            </w:r>
            <w:r>
              <w:rPr>
                <w:sz w:val="20"/>
              </w:rPr>
              <w:t xml:space="preserve">- </w:t>
            </w:r>
            <w:r>
              <w:rPr>
                <w:spacing w:val="-5"/>
                <w:sz w:val="20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586" w:type="dxa"/>
          </w:tcPr>
          <w:p>
            <w:pPr>
              <w:pStyle w:val="9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0 - 1,500</w:t>
            </w:r>
          </w:p>
        </w:tc>
        <w:tc>
          <w:tcPr>
            <w:tcW w:w="1443" w:type="dxa"/>
          </w:tcPr>
          <w:p>
            <w:pPr>
              <w:pStyle w:val="9"/>
              <w:ind w:left="16" w:right="38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4084" w:type="dxa"/>
          </w:tcPr>
          <w:p>
            <w:pPr>
              <w:pStyle w:val="9"/>
              <w:ind w:right="15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ppm </w:t>
            </w:r>
            <w:r>
              <w:rPr>
                <w:spacing w:val="-5"/>
                <w:sz w:val="20"/>
              </w:rPr>
              <w:t xml:space="preserve">(mg/L) </w:t>
            </w:r>
            <w:r>
              <w:rPr>
                <w:sz w:val="20"/>
              </w:rPr>
              <w:t xml:space="preserve">= </w:t>
            </w:r>
            <w:r>
              <w:rPr>
                <w:spacing w:val="-5"/>
                <w:sz w:val="20"/>
              </w:rPr>
              <w:t xml:space="preserve">(2301)(abs) </w:t>
            </w:r>
            <w:r>
              <w:rPr>
                <w:sz w:val="20"/>
              </w:rPr>
              <w:t>- 3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86" w:type="dxa"/>
          </w:tcPr>
          <w:p>
            <w:pPr>
              <w:pStyle w:val="9"/>
              <w:spacing w:line="210" w:lineRule="exact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 xml:space="preserve">0 - </w:t>
            </w:r>
            <w:r>
              <w:rPr>
                <w:spacing w:val="-5"/>
                <w:sz w:val="20"/>
              </w:rPr>
              <w:t>15,000</w:t>
            </w:r>
          </w:p>
        </w:tc>
        <w:tc>
          <w:tcPr>
            <w:tcW w:w="1443" w:type="dxa"/>
          </w:tcPr>
          <w:p>
            <w:pPr>
              <w:pStyle w:val="9"/>
              <w:spacing w:line="210" w:lineRule="exact"/>
              <w:ind w:left="16" w:right="38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4084" w:type="dxa"/>
          </w:tcPr>
          <w:p>
            <w:pPr>
              <w:pStyle w:val="9"/>
              <w:spacing w:line="210" w:lineRule="exact"/>
              <w:ind w:right="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ppm </w:t>
            </w:r>
            <w:r>
              <w:rPr>
                <w:spacing w:val="-5"/>
                <w:sz w:val="20"/>
              </w:rPr>
              <w:t xml:space="preserve">(mg/L) </w:t>
            </w:r>
            <w:r>
              <w:rPr>
                <w:sz w:val="20"/>
              </w:rPr>
              <w:t xml:space="preserve">= </w:t>
            </w:r>
            <w:r>
              <w:rPr>
                <w:spacing w:val="-5"/>
                <w:sz w:val="20"/>
              </w:rPr>
              <w:t xml:space="preserve">(23010)(abs) </w:t>
            </w:r>
            <w:r>
              <w:rPr>
                <w:sz w:val="20"/>
              </w:rPr>
              <w:t>- 3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0" w:right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 w:bidi="en-US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0" w:right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 w:bidi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en-US"/>
        </w:rPr>
        <w:t>13.擦拭试剂空白样品瓶的外部，直至其清洁干燥。 将试剂空白样品瓶放入仪器样品室。 该试剂空白用于将仪器归零。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0" w:right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 w:bidi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en-US"/>
        </w:rPr>
        <w:t>14.擦拭测试COD小瓶的外部，直至其清洁干燥。 将样品瓶放入仪器样品室以获得测试结果。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0" w:right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 w:bidi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en-US"/>
        </w:rPr>
        <w:t>15.如果适用，请使用步骤12中的范围特定校准公式将吸光度值转换为mg /l COD的测试结果。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0"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en-U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en-US"/>
        </w:rPr>
        <w:t>错误的来源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 w:bidi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en-US"/>
        </w:rPr>
        <w:t>含有LR COD和HR COD试剂的汞可以承受高达2000 ppm氯离子的干扰。含有HR+COD试剂的汞可用于含有高达20,000ppm氯化物的样品而不会产生干扰，氯化物浓度较高的样品需要稀释。此外，含有高浓度氯化物（&gt;1000ppm）和低浓度COD（&lt;30％产品范围）的样品将给出假阳性测试结果。在这种情况下，建议采用样品稀释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0" w:right="0"/>
        <w:jc w:val="left"/>
        <w:textAlignment w:val="auto"/>
        <w:outlineLvl w:val="9"/>
        <w:rPr>
          <w:rFonts w:ascii="Times New Roman"/>
          <w:i/>
          <w:sz w:val="27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en-US"/>
        </w:rPr>
        <w:t>无汞LR COD和HR COD试剂适用于氯化物含量低于100 ppm的样品（无汞HR+COD试剂盒低于1000 ppm）。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0" w:right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 w:bidi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en-US"/>
        </w:rPr>
        <w:t>选择正确的范围COD套件非常重要，如果样品中的COD浓度明显高于所用测试试剂盒的范围，则可能获得错误的低测试结果。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0" w:right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 w:bidi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en-US"/>
        </w:rPr>
        <w:t>COD试剂是光敏感的，使用时，将样品瓶存放在黑暗中和室温下。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0" w:right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 w:bidi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en-US"/>
        </w:rPr>
        <w:t>良好的技术和消除污染是必要的准确结果，可用20％硫酸清洗所有玻璃器皿。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0" w:right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 w:bidi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en-US"/>
        </w:rPr>
        <w:t>对于COD测试，基于LED的光度计不能产生与分光光度计相当的精度，精度和灵敏度对于COD的NPDES报告目的，分光光度计是首选的测量方法。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0"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en-US" w:bidi="en-U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en-US" w:bidi="en-US"/>
        </w:rPr>
        <w:t>校准和精确检查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0" w:right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en-US" w:bidi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en-US" w:bidi="en-US"/>
        </w:rPr>
        <w:t>1.获得mg</w:t>
      </w:r>
      <w:r>
        <w:rPr>
          <w:rFonts w:hint="eastAsia" w:ascii="宋体" w:hAnsi="宋体" w:eastAsia="宋体" w:cs="宋体"/>
          <w:sz w:val="21"/>
          <w:szCs w:val="21"/>
          <w:lang w:val="en-US" w:eastAsia="zh-CN" w:bidi="en-US"/>
        </w:rPr>
        <w:t xml:space="preserve">/l </w:t>
      </w:r>
      <w:r>
        <w:rPr>
          <w:rFonts w:hint="eastAsia" w:ascii="宋体" w:hAnsi="宋体" w:eastAsia="宋体" w:cs="宋体"/>
          <w:sz w:val="21"/>
          <w:szCs w:val="21"/>
          <w:lang w:val="en-US" w:eastAsia="en-US" w:bidi="en-US"/>
        </w:rPr>
        <w:t>COD测试结果的选项：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0" w:right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en-US" w:bidi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en-US" w:bidi="en-US"/>
        </w:rPr>
        <w:t>•使用预编程的CHEMetrics或</w:t>
      </w:r>
      <w:r>
        <w:rPr>
          <w:rFonts w:hint="eastAsia" w:ascii="宋体" w:hAnsi="宋体" w:eastAsia="宋体" w:cs="宋体"/>
          <w:sz w:val="21"/>
          <w:szCs w:val="21"/>
          <w:lang w:val="en-US" w:eastAsia="zh-CN" w:bidi="en-US"/>
        </w:rPr>
        <w:t>哈希</w:t>
      </w:r>
      <w:r>
        <w:rPr>
          <w:rFonts w:hint="eastAsia" w:ascii="宋体" w:hAnsi="宋体" w:eastAsia="宋体" w:cs="宋体"/>
          <w:sz w:val="21"/>
          <w:szCs w:val="21"/>
          <w:lang w:val="en-US" w:eastAsia="en-US" w:bidi="en-US"/>
        </w:rPr>
        <w:t>仪器进行直接读数。 按照仪器操作员手册中的设置和测量程序进行操作。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0" w:right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en-US" w:bidi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en-US" w:bidi="en-US"/>
        </w:rPr>
        <w:t>•使用提供的校准公式（测试程序的步骤12）用于其他品牌的分光光度计。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0" w:right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 w:bidi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en-US"/>
        </w:rPr>
        <w:t>•通过准备一系列五种标准溶液（其中一种是空白）来生成特定于所用仪器的标准曲线，该解决方案涵盖了预期的测试范围。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0" w:right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 w:bidi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en-US"/>
        </w:rPr>
        <w:t>2.COD标准溶液用于检查测试的准确性或生成仪器特定的校准曲线。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0" w:right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 w:bidi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en-US"/>
        </w:rPr>
        <w:t>1.当哈希公司应用于非自身的试剂时，不保证其提供的校准的准确性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 w:bidi="en-US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 w:bidi="en-US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 w:bidi="en-US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 w:bidi="en-US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 w:bidi="en-US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 w:bidi="en-US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 w:bidi="en-US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 w:bidi="en-US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 w:bidi="en-US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 w:bidi="en-US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 w:bidi="en-US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 w:bidi="en-US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 w:bidi="en-US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 w:bidi="en-US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 w:bidi="en-US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 w:bidi="en-US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 w:bidi="en-US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 w:bidi="en-US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 w:bidi="en-US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 w:bidi="en-US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 w:bidi="en-US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 w:bidi="en-US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 w:bidi="en-US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 w:bidi="en-US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 w:bidi="en-US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 w:bidi="en-US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 w:bidi="en-US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 w:bidi="en-US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 w:bidi="en-US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 w:bidi="en-US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 w:bidi="en-US"/>
        </w:rPr>
      </w:pPr>
    </w:p>
    <w:p>
      <w:pPr>
        <w:spacing w:before="76" w:line="249" w:lineRule="auto"/>
        <w:ind w:right="3231"/>
        <w:jc w:val="both"/>
        <w:rPr>
          <w:i/>
          <w:sz w:val="15"/>
        </w:rPr>
      </w:pPr>
    </w:p>
    <w:sectPr>
      <w:pgSz w:w="12240" w:h="15840"/>
      <w:pgMar w:top="1440" w:right="1080" w:bottom="1440" w:left="10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0129A"/>
    <w:multiLevelType w:val="singleLevel"/>
    <w:tmpl w:val="6B10129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C1316"/>
    <w:rsid w:val="1CC162A1"/>
    <w:rsid w:val="38D2333E"/>
    <w:rsid w:val="42617BE5"/>
    <w:rsid w:val="59AA3D8F"/>
    <w:rsid w:val="6C6F43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line="245" w:lineRule="exact"/>
      <w:ind w:left="3229"/>
      <w:outlineLvl w:val="1"/>
    </w:pPr>
    <w:rPr>
      <w:rFonts w:ascii="Arial" w:hAnsi="Arial" w:eastAsia="Arial" w:cs="Arial"/>
      <w:b/>
      <w:bCs/>
      <w:sz w:val="22"/>
      <w:szCs w:val="22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ind w:left="724" w:right="38" w:hanging="272"/>
      <w:jc w:val="both"/>
      <w:outlineLvl w:val="2"/>
    </w:pPr>
    <w:rPr>
      <w:rFonts w:ascii="Arial" w:hAnsi="Arial" w:eastAsia="Arial" w:cs="Arial"/>
      <w:sz w:val="20"/>
      <w:szCs w:val="20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3229" w:right="3230"/>
      <w:jc w:val="both"/>
    </w:pPr>
    <w:rPr>
      <w:rFonts w:ascii="Arial" w:hAnsi="Arial" w:eastAsia="Arial" w:cs="Arial"/>
      <w:sz w:val="18"/>
      <w:szCs w:val="18"/>
      <w:lang w:val="en-US" w:eastAsia="en-US" w:bidi="en-US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724" w:right="38" w:hanging="272"/>
      <w:jc w:val="both"/>
    </w:pPr>
    <w:rPr>
      <w:rFonts w:ascii="Arial" w:hAnsi="Arial" w:eastAsia="Arial" w:cs="Arial"/>
      <w:lang w:val="en-US" w:eastAsia="en-US" w:bidi="en-US"/>
    </w:rPr>
  </w:style>
  <w:style w:type="paragraph" w:customStyle="1" w:styleId="9">
    <w:name w:val="Table Paragraph"/>
    <w:basedOn w:val="1"/>
    <w:qFormat/>
    <w:uiPriority w:val="1"/>
    <w:pPr>
      <w:spacing w:before="6" w:line="223" w:lineRule="exact"/>
      <w:jc w:val="center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ScaleCrop>false</ScaleCrop>
  <LinksUpToDate>false</LinksUpToDate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2018-08-15T08:35:00Z</dcterms:created>
  <dc:creator>twilliam</dc:creator>
  <cp:keywords>cod vials lr mr hr, chemetrics, water test kits, water testing, colorimetric water analysis</cp:keywords>
  <cp:lastModifiedBy>Careful</cp:lastModifiedBy>
  <dcterms:modified xsi:type="dcterms:W3CDTF">2020-09-04T02:53:01Z</dcterms:modified>
  <dc:subject>cod vials lr mr hr</dc:subject>
  <dc:title>cod vials lr mr hr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2018-08-15T00:00:00Z</vt:filetime>
  </property>
  <property fmtid="{D5CDD505-2E9C-101B-9397-08002B2CF9AE}" pid="5" name="KSOProductBuildVer">
    <vt:lpwstr>2052-11.1.0.9912</vt:lpwstr>
  </property>
</Properties>
</file>